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364590" w:rsidRDefault="00F92268" w:rsidP="00850792">
      <w:pPr>
        <w:pStyle w:val="BodyText"/>
        <w:rPr>
          <w:sz w:val="6"/>
          <w:szCs w:val="6"/>
        </w:rPr>
      </w:pPr>
      <w:r w:rsidRPr="00364590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364590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364590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364590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364590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BA8F3AC" w:rsidR="00F92268" w:rsidRPr="00364590" w:rsidRDefault="007D732E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364590">
              <w:rPr>
                <w:rFonts w:cs="Arial"/>
                <w:sz w:val="16"/>
                <w:szCs w:val="16"/>
              </w:rPr>
              <w:t>1944-A</w:t>
            </w:r>
          </w:p>
        </w:tc>
      </w:tr>
    </w:tbl>
    <w:p w14:paraId="5DA15A87" w14:textId="77777777" w:rsidR="00364590" w:rsidRDefault="00364590" w:rsidP="00364590">
      <w:pPr>
        <w:sectPr w:rsidR="00364590" w:rsidSect="001A3F2E">
          <w:headerReference w:type="default" r:id="rId12"/>
          <w:footerReference w:type="default" r:id="rId13"/>
          <w:footerReference w:type="first" r:id="rId14"/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9FFF0AC" w:rsidR="004B15BB" w:rsidRPr="00364590" w:rsidRDefault="00BF3DE9" w:rsidP="00364590">
      <w:pPr>
        <w:pStyle w:val="Heading1"/>
      </w:pPr>
      <w:r w:rsidRPr="00364590">
        <w:t>Specialty Guideline Management</w:t>
      </w:r>
      <w:r w:rsidR="00364590">
        <w:br/>
      </w:r>
      <w:r w:rsidR="00C36345">
        <w:t>Factor IX Pr</w:t>
      </w:r>
      <w:r w:rsidR="000B1DC0">
        <w:t>oducts</w:t>
      </w:r>
    </w:p>
    <w:p w14:paraId="5937468A" w14:textId="1CA79302" w:rsidR="00821E3B" w:rsidRPr="00364590" w:rsidRDefault="00821E3B" w:rsidP="00821E3B">
      <w:pPr>
        <w:pStyle w:val="Heading2"/>
      </w:pPr>
      <w:r w:rsidRPr="00364590">
        <w:t>Products Referenced by this Document</w:t>
      </w:r>
    </w:p>
    <w:p w14:paraId="389A0003" w14:textId="6EEC5179" w:rsidR="00821E3B" w:rsidRPr="00364590" w:rsidRDefault="00821E3B" w:rsidP="00821E3B">
      <w:pPr>
        <w:pStyle w:val="BodyText"/>
      </w:pPr>
      <w:r w:rsidRPr="00364590">
        <w:t xml:space="preserve">Drugs that are listed in the following table include both brand and generic and all dosage forms and strengths unless otherwise stated. </w:t>
      </w:r>
      <w:r w:rsidR="0062185A">
        <w:t>Over-the-counter (</w:t>
      </w:r>
      <w:r w:rsidRPr="00364590">
        <w:t>OTC</w:t>
      </w:r>
      <w:r w:rsidR="0062185A">
        <w:t>)</w:t>
      </w:r>
      <w:r w:rsidRPr="00364590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821E3B" w:rsidRPr="00364590" w14:paraId="5B868CA2" w14:textId="77777777" w:rsidTr="006D0E12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06FF51CE" w14:textId="77777777" w:rsidR="00821E3B" w:rsidRPr="00364590" w:rsidRDefault="00821E3B" w:rsidP="006D0E12">
            <w:pPr>
              <w:pStyle w:val="TableHeader"/>
            </w:pPr>
            <w:bookmarkStart w:id="0" w:name="_Hlk159603270"/>
            <w:r w:rsidRPr="00364590">
              <w:t>Brand Name</w:t>
            </w:r>
          </w:p>
        </w:tc>
        <w:tc>
          <w:tcPr>
            <w:tcW w:w="5595" w:type="dxa"/>
            <w:vAlign w:val="center"/>
          </w:tcPr>
          <w:p w14:paraId="0BF1EFBB" w14:textId="77777777" w:rsidR="00821E3B" w:rsidRPr="00364590" w:rsidRDefault="00821E3B" w:rsidP="006D0E12">
            <w:pPr>
              <w:pStyle w:val="TableHeader"/>
            </w:pPr>
            <w:r w:rsidRPr="00364590">
              <w:t>Generic Name</w:t>
            </w:r>
          </w:p>
        </w:tc>
      </w:tr>
      <w:tr w:rsidR="00821E3B" w:rsidRPr="00364590" w14:paraId="6DEFF242" w14:textId="77777777" w:rsidTr="006D0E12">
        <w:trPr>
          <w:cantSplit/>
        </w:trPr>
        <w:tc>
          <w:tcPr>
            <w:tcW w:w="5265" w:type="dxa"/>
          </w:tcPr>
          <w:p w14:paraId="53CE096D" w14:textId="737DA76F" w:rsidR="00821E3B" w:rsidRPr="00364590" w:rsidRDefault="00821E3B" w:rsidP="006D0E12">
            <w:pPr>
              <w:pStyle w:val="TableDataUnpadded"/>
            </w:pPr>
            <w:proofErr w:type="spellStart"/>
            <w:r w:rsidRPr="00364590">
              <w:t>Rebinyn</w:t>
            </w:r>
            <w:proofErr w:type="spellEnd"/>
          </w:p>
        </w:tc>
        <w:tc>
          <w:tcPr>
            <w:tcW w:w="5595" w:type="dxa"/>
          </w:tcPr>
          <w:p w14:paraId="224C8DFD" w14:textId="3B4FBD0A" w:rsidR="00364590" w:rsidRPr="00364590" w:rsidRDefault="00364590" w:rsidP="00364590">
            <w:pPr>
              <w:pStyle w:val="TableDataUnpadded"/>
            </w:pPr>
            <w:r w:rsidRPr="00364590">
              <w:t xml:space="preserve">coagulation factor </w:t>
            </w:r>
            <w:r w:rsidR="00162B05" w:rsidRPr="00364590">
              <w:t>IX</w:t>
            </w:r>
            <w:r w:rsidRPr="00364590">
              <w:t xml:space="preserve"> [recombinant], </w:t>
            </w:r>
            <w:proofErr w:type="spellStart"/>
            <w:r w:rsidRPr="00364590">
              <w:t>glyco</w:t>
            </w:r>
            <w:r w:rsidR="00162B05" w:rsidRPr="00364590">
              <w:t>PEG</w:t>
            </w:r>
            <w:r w:rsidRPr="00364590">
              <w:t>ylated</w:t>
            </w:r>
            <w:proofErr w:type="spellEnd"/>
          </w:p>
        </w:tc>
      </w:tr>
      <w:tr w:rsidR="00821E3B" w:rsidRPr="00364590" w14:paraId="7DDD0EB3" w14:textId="77777777" w:rsidTr="006D0E12">
        <w:trPr>
          <w:cantSplit/>
        </w:trPr>
        <w:tc>
          <w:tcPr>
            <w:tcW w:w="5265" w:type="dxa"/>
          </w:tcPr>
          <w:p w14:paraId="292DB587" w14:textId="637A0185" w:rsidR="00821E3B" w:rsidRPr="00364590" w:rsidRDefault="00821E3B" w:rsidP="006D0E12">
            <w:pPr>
              <w:pStyle w:val="TableDataUnpadded"/>
            </w:pPr>
            <w:proofErr w:type="spellStart"/>
            <w:r w:rsidRPr="00364590">
              <w:t>Idelvion</w:t>
            </w:r>
            <w:proofErr w:type="spellEnd"/>
          </w:p>
        </w:tc>
        <w:tc>
          <w:tcPr>
            <w:tcW w:w="5595" w:type="dxa"/>
          </w:tcPr>
          <w:p w14:paraId="5999D714" w14:textId="05A3D721" w:rsidR="00821E3B" w:rsidRPr="00364590" w:rsidRDefault="00364590" w:rsidP="006D0E12">
            <w:pPr>
              <w:pStyle w:val="TableDataUnpadded"/>
            </w:pPr>
            <w:r w:rsidRPr="00364590">
              <w:t xml:space="preserve">coagulation factor </w:t>
            </w:r>
            <w:r w:rsidR="00162B05" w:rsidRPr="00364590">
              <w:t>IX</w:t>
            </w:r>
            <w:r w:rsidRPr="00364590">
              <w:t xml:space="preserve"> [recombinant], albumin fusion protein</w:t>
            </w:r>
          </w:p>
        </w:tc>
      </w:tr>
      <w:tr w:rsidR="00821E3B" w:rsidRPr="00364590" w14:paraId="734A2FFA" w14:textId="77777777" w:rsidTr="006D0E12">
        <w:trPr>
          <w:cantSplit/>
        </w:trPr>
        <w:tc>
          <w:tcPr>
            <w:tcW w:w="5265" w:type="dxa"/>
          </w:tcPr>
          <w:p w14:paraId="2489F392" w14:textId="40AEDBA4" w:rsidR="00821E3B" w:rsidRPr="00364590" w:rsidRDefault="00821E3B" w:rsidP="006D0E12">
            <w:pPr>
              <w:pStyle w:val="TableDataUnpadded"/>
            </w:pPr>
            <w:proofErr w:type="spellStart"/>
            <w:r w:rsidRPr="00364590">
              <w:t>Alprolix</w:t>
            </w:r>
            <w:proofErr w:type="spellEnd"/>
          </w:p>
        </w:tc>
        <w:tc>
          <w:tcPr>
            <w:tcW w:w="5595" w:type="dxa"/>
          </w:tcPr>
          <w:p w14:paraId="5B51FC55" w14:textId="5D19533E" w:rsidR="00821E3B" w:rsidRPr="00364590" w:rsidRDefault="00364590" w:rsidP="006D0E12">
            <w:pPr>
              <w:pStyle w:val="TableDataUnpadded"/>
            </w:pPr>
            <w:r w:rsidRPr="00364590">
              <w:t xml:space="preserve">coagulation factor </w:t>
            </w:r>
            <w:r w:rsidR="00162B05" w:rsidRPr="00364590">
              <w:t>IX</w:t>
            </w:r>
            <w:r w:rsidRPr="00364590">
              <w:t xml:space="preserve"> [recombinant], Fc fusion protein</w:t>
            </w:r>
          </w:p>
        </w:tc>
      </w:tr>
      <w:tr w:rsidR="00821E3B" w:rsidRPr="00364590" w14:paraId="1DB0EF63" w14:textId="77777777" w:rsidTr="006D0E12">
        <w:trPr>
          <w:cantSplit/>
        </w:trPr>
        <w:tc>
          <w:tcPr>
            <w:tcW w:w="5265" w:type="dxa"/>
          </w:tcPr>
          <w:p w14:paraId="04906800" w14:textId="4DFBAE1A" w:rsidR="00821E3B" w:rsidRPr="00364590" w:rsidRDefault="00821E3B" w:rsidP="006D0E12">
            <w:pPr>
              <w:pStyle w:val="TableDataUnpadded"/>
            </w:pPr>
            <w:proofErr w:type="spellStart"/>
            <w:r w:rsidRPr="00364590">
              <w:t>Benefix</w:t>
            </w:r>
            <w:proofErr w:type="spellEnd"/>
          </w:p>
        </w:tc>
        <w:tc>
          <w:tcPr>
            <w:tcW w:w="5595" w:type="dxa"/>
          </w:tcPr>
          <w:p w14:paraId="32F28A50" w14:textId="7778547C" w:rsidR="00821E3B" w:rsidRPr="00364590" w:rsidRDefault="00364590" w:rsidP="006D0E12">
            <w:pPr>
              <w:pStyle w:val="TableDataUnpadded"/>
            </w:pPr>
            <w:r w:rsidRPr="00364590">
              <w:t xml:space="preserve">coagulation factor </w:t>
            </w:r>
            <w:r w:rsidR="00162B05" w:rsidRPr="00364590">
              <w:t>IX</w:t>
            </w:r>
            <w:r w:rsidRPr="00364590">
              <w:t xml:space="preserve"> [recombinant]</w:t>
            </w:r>
          </w:p>
        </w:tc>
      </w:tr>
      <w:tr w:rsidR="00821E3B" w:rsidRPr="00364590" w14:paraId="3A42D5BE" w14:textId="77777777" w:rsidTr="006D0E12">
        <w:trPr>
          <w:cantSplit/>
        </w:trPr>
        <w:tc>
          <w:tcPr>
            <w:tcW w:w="5265" w:type="dxa"/>
          </w:tcPr>
          <w:p w14:paraId="049FC65D" w14:textId="46C9F803" w:rsidR="00821E3B" w:rsidRPr="00364590" w:rsidRDefault="00821E3B" w:rsidP="00821E3B">
            <w:pPr>
              <w:pStyle w:val="TableDataUnpadded"/>
            </w:pPr>
            <w:proofErr w:type="spellStart"/>
            <w:r w:rsidRPr="00364590">
              <w:t>Ixinity</w:t>
            </w:r>
            <w:proofErr w:type="spellEnd"/>
          </w:p>
        </w:tc>
        <w:tc>
          <w:tcPr>
            <w:tcW w:w="5595" w:type="dxa"/>
          </w:tcPr>
          <w:p w14:paraId="00899C6E" w14:textId="7217E16E" w:rsidR="00821E3B" w:rsidRPr="00364590" w:rsidRDefault="00364590" w:rsidP="00821E3B">
            <w:pPr>
              <w:pStyle w:val="TableDataUnpadded"/>
            </w:pPr>
            <w:r w:rsidRPr="00364590">
              <w:t xml:space="preserve">coagulation factor </w:t>
            </w:r>
            <w:r w:rsidR="00162B05" w:rsidRPr="00364590">
              <w:t>IX</w:t>
            </w:r>
            <w:r w:rsidRPr="00364590">
              <w:t xml:space="preserve"> [recombinant]</w:t>
            </w:r>
          </w:p>
        </w:tc>
      </w:tr>
      <w:tr w:rsidR="00821E3B" w:rsidRPr="00364590" w14:paraId="76C76DD3" w14:textId="77777777" w:rsidTr="006D0E12">
        <w:trPr>
          <w:cantSplit/>
        </w:trPr>
        <w:tc>
          <w:tcPr>
            <w:tcW w:w="5265" w:type="dxa"/>
          </w:tcPr>
          <w:p w14:paraId="594B0197" w14:textId="22999D62" w:rsidR="00821E3B" w:rsidRPr="00364590" w:rsidRDefault="00821E3B" w:rsidP="00821E3B">
            <w:pPr>
              <w:pStyle w:val="TableDataUnpadded"/>
            </w:pPr>
            <w:proofErr w:type="spellStart"/>
            <w:r w:rsidRPr="00364590">
              <w:t>Rixubis</w:t>
            </w:r>
            <w:proofErr w:type="spellEnd"/>
          </w:p>
        </w:tc>
        <w:tc>
          <w:tcPr>
            <w:tcW w:w="5595" w:type="dxa"/>
          </w:tcPr>
          <w:p w14:paraId="2D88DE5D" w14:textId="67C64C2E" w:rsidR="00821E3B" w:rsidRPr="00364590" w:rsidRDefault="00364590" w:rsidP="00821E3B">
            <w:pPr>
              <w:pStyle w:val="TableDataUnpadded"/>
            </w:pPr>
            <w:r w:rsidRPr="00364590">
              <w:t xml:space="preserve">coagulation factor </w:t>
            </w:r>
            <w:r w:rsidR="00162B05" w:rsidRPr="00364590">
              <w:t>IX</w:t>
            </w:r>
            <w:r w:rsidRPr="00364590">
              <w:t xml:space="preserve"> [recombinant]</w:t>
            </w:r>
          </w:p>
        </w:tc>
      </w:tr>
      <w:tr w:rsidR="00821E3B" w:rsidRPr="00364590" w14:paraId="05BA26C9" w14:textId="77777777" w:rsidTr="006D0E12">
        <w:trPr>
          <w:cantSplit/>
        </w:trPr>
        <w:tc>
          <w:tcPr>
            <w:tcW w:w="5265" w:type="dxa"/>
          </w:tcPr>
          <w:p w14:paraId="2905A49A" w14:textId="4216F2A5" w:rsidR="00821E3B" w:rsidRPr="00364590" w:rsidRDefault="00821E3B" w:rsidP="006D0E12">
            <w:pPr>
              <w:pStyle w:val="TableDataUnpadded"/>
            </w:pPr>
            <w:proofErr w:type="spellStart"/>
            <w:r w:rsidRPr="00364590">
              <w:t>Alphanine</w:t>
            </w:r>
            <w:proofErr w:type="spellEnd"/>
            <w:r w:rsidRPr="00364590">
              <w:t xml:space="preserve"> SD</w:t>
            </w:r>
          </w:p>
        </w:tc>
        <w:tc>
          <w:tcPr>
            <w:tcW w:w="5595" w:type="dxa"/>
          </w:tcPr>
          <w:p w14:paraId="5888733F" w14:textId="78E19041" w:rsidR="00821E3B" w:rsidRPr="00364590" w:rsidRDefault="00364590" w:rsidP="006D0E12">
            <w:pPr>
              <w:pStyle w:val="TableDataUnpadded"/>
            </w:pPr>
            <w:r w:rsidRPr="00364590">
              <w:t xml:space="preserve">coagulation factor </w:t>
            </w:r>
            <w:r w:rsidR="00162B05" w:rsidRPr="00364590">
              <w:t>IX</w:t>
            </w:r>
            <w:r w:rsidRPr="00364590">
              <w:t xml:space="preserve"> [human])</w:t>
            </w:r>
          </w:p>
        </w:tc>
      </w:tr>
    </w:tbl>
    <w:bookmarkEnd w:id="0"/>
    <w:p w14:paraId="14CE6108" w14:textId="6211DEB8" w:rsidR="00FC1AAD" w:rsidRPr="00364590" w:rsidRDefault="00ED052F" w:rsidP="00ED052F">
      <w:pPr>
        <w:pStyle w:val="Heading2"/>
      </w:pPr>
      <w:r w:rsidRPr="00364590">
        <w:t>Indications</w:t>
      </w:r>
    </w:p>
    <w:p w14:paraId="3792CBF3" w14:textId="62C253A4" w:rsidR="00BF3DE9" w:rsidRPr="00364590" w:rsidRDefault="00BF3DE9" w:rsidP="00BF3DE9">
      <w:pPr>
        <w:pStyle w:val="BodyText"/>
      </w:pPr>
      <w:r w:rsidRPr="00364590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828C1BD" w:rsidR="00ED052F" w:rsidRPr="00364590" w:rsidRDefault="00ED052F" w:rsidP="00ED052F">
      <w:pPr>
        <w:pStyle w:val="Heading3"/>
        <w:keepNext w:val="0"/>
      </w:pPr>
      <w:r w:rsidRPr="00364590">
        <w:t>FDA-approved Indications</w:t>
      </w:r>
      <w:r w:rsidR="00C91539" w:rsidRPr="00600651">
        <w:rPr>
          <w:vertAlign w:val="superscript"/>
        </w:rPr>
        <w:t>1-7</w:t>
      </w:r>
    </w:p>
    <w:p w14:paraId="07C2C707" w14:textId="63BF82C6" w:rsidR="00BF3DE9" w:rsidRPr="00052886" w:rsidRDefault="00BF3DE9" w:rsidP="005E6FD9">
      <w:pPr>
        <w:pStyle w:val="Heading4"/>
        <w:rPr>
          <w:rFonts w:eastAsia="Times New Roman"/>
          <w:sz w:val="22"/>
          <w:bdr w:val="none" w:sz="0" w:space="0" w:color="auto"/>
        </w:rPr>
      </w:pPr>
      <w:r w:rsidRPr="00052886">
        <w:rPr>
          <w:rFonts w:eastAsia="Times New Roman"/>
          <w:sz w:val="22"/>
          <w:bdr w:val="none" w:sz="0" w:space="0" w:color="auto"/>
        </w:rPr>
        <w:t>Hemophilia B</w:t>
      </w:r>
    </w:p>
    <w:p w14:paraId="7EAE3E0F" w14:textId="586844D9" w:rsidR="00BF3DE9" w:rsidRPr="00364590" w:rsidRDefault="00BF3DE9" w:rsidP="00BF3DE9">
      <w:pPr>
        <w:pStyle w:val="BodyText"/>
      </w:pPr>
      <w:r w:rsidRPr="00364590">
        <w:t>All other indications are considered experimental/investigational and not medically necessary.</w:t>
      </w:r>
    </w:p>
    <w:p w14:paraId="4A5B15F8" w14:textId="09F207FE" w:rsidR="00006174" w:rsidRPr="00364590" w:rsidRDefault="00006174" w:rsidP="00006174">
      <w:pPr>
        <w:pStyle w:val="Heading2"/>
      </w:pPr>
      <w:r w:rsidRPr="00364590">
        <w:lastRenderedPageBreak/>
        <w:t>Prescriber Specialties</w:t>
      </w:r>
    </w:p>
    <w:p w14:paraId="7EF1D3AD" w14:textId="3CA53530" w:rsidR="00D36611" w:rsidRPr="00364590" w:rsidRDefault="00D36611" w:rsidP="00D36611">
      <w:pPr>
        <w:pStyle w:val="BodyText"/>
      </w:pPr>
      <w:r w:rsidRPr="00364590">
        <w:t>Must be prescribed by or in consultation with a hematologist.</w:t>
      </w:r>
    </w:p>
    <w:p w14:paraId="65A12794" w14:textId="4508D7F8" w:rsidR="000D5101" w:rsidRPr="00364590" w:rsidRDefault="00364590" w:rsidP="00E050E1">
      <w:pPr>
        <w:pStyle w:val="Heading2"/>
      </w:pPr>
      <w:r>
        <w:t>Coverage Criteria</w:t>
      </w:r>
    </w:p>
    <w:p w14:paraId="2B936721" w14:textId="6FCD02B3" w:rsidR="00D36611" w:rsidRPr="00364590" w:rsidRDefault="00D36611" w:rsidP="0052255A">
      <w:pPr>
        <w:pStyle w:val="Heading3"/>
      </w:pPr>
      <w:r w:rsidRPr="00364590">
        <w:t>Hemophilia B</w:t>
      </w:r>
      <w:r w:rsidR="006952F8" w:rsidRPr="00600651">
        <w:rPr>
          <w:vertAlign w:val="superscript"/>
        </w:rPr>
        <w:t>1-9</w:t>
      </w:r>
    </w:p>
    <w:p w14:paraId="137B9433" w14:textId="77777777" w:rsidR="00364590" w:rsidRDefault="00D36611" w:rsidP="00D36611">
      <w:pPr>
        <w:pStyle w:val="BodyText"/>
      </w:pPr>
      <w:r w:rsidRPr="00364590">
        <w:t>Authorization of 12 months may be granted for treatment of hemophilia B.</w:t>
      </w:r>
    </w:p>
    <w:p w14:paraId="3A643EC3" w14:textId="442F02DE" w:rsidR="00A501AC" w:rsidRPr="00364590" w:rsidRDefault="00A501AC" w:rsidP="00A501AC">
      <w:pPr>
        <w:pStyle w:val="Heading2"/>
      </w:pPr>
      <w:r w:rsidRPr="00364590">
        <w:t>Continuation of Therapy</w:t>
      </w:r>
    </w:p>
    <w:p w14:paraId="0D66B437" w14:textId="523EEAE3" w:rsidR="00D36611" w:rsidRPr="00364590" w:rsidRDefault="00D36611" w:rsidP="00D36611">
      <w:pPr>
        <w:pStyle w:val="BodyText"/>
      </w:pPr>
      <w:r w:rsidRPr="00364590">
        <w:t xml:space="preserve">Authorization of 12 months may be granted for continued treatment in members requesting reauthorization for an indication listed in </w:t>
      </w:r>
      <w:r w:rsidR="009E2CC6">
        <w:t>the coverage criteria section</w:t>
      </w:r>
      <w:r w:rsidRPr="00364590">
        <w:t xml:space="preserve"> when the member is experiencing benefit from therapy (e.g., reduced frequency or severity of bleeds).</w:t>
      </w:r>
    </w:p>
    <w:p w14:paraId="17409917" w14:textId="3C7BC507" w:rsidR="00C96B3F" w:rsidRPr="00364590" w:rsidRDefault="00C96B3F" w:rsidP="008D1B34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364590">
        <w:t>References</w:t>
      </w:r>
    </w:p>
    <w:p w14:paraId="34EBB72A" w14:textId="090B259E" w:rsidR="00D36611" w:rsidRPr="00364590" w:rsidRDefault="00D36611" w:rsidP="007D732E">
      <w:pPr>
        <w:pStyle w:val="ReferenceOrdered"/>
        <w:keepNext w:val="0"/>
        <w:numPr>
          <w:ilvl w:val="0"/>
          <w:numId w:val="26"/>
        </w:numPr>
        <w:ind w:left="360"/>
      </w:pPr>
      <w:proofErr w:type="spellStart"/>
      <w:r w:rsidRPr="00364590">
        <w:t>Alprolix</w:t>
      </w:r>
      <w:proofErr w:type="spellEnd"/>
      <w:r w:rsidRPr="00364590">
        <w:t xml:space="preserve"> [package insert]. Waltham, MA: </w:t>
      </w:r>
      <w:proofErr w:type="spellStart"/>
      <w:r w:rsidRPr="00364590">
        <w:t>Bioverativ</w:t>
      </w:r>
      <w:proofErr w:type="spellEnd"/>
      <w:r w:rsidRPr="00364590">
        <w:t xml:space="preserve"> Therapeutics Inc.; May 2023.</w:t>
      </w:r>
    </w:p>
    <w:p w14:paraId="51DEA903" w14:textId="1CF8D308" w:rsidR="00D36611" w:rsidRPr="00364590" w:rsidRDefault="00D36611" w:rsidP="007D732E">
      <w:pPr>
        <w:pStyle w:val="ReferenceOrdered"/>
        <w:keepNext w:val="0"/>
        <w:numPr>
          <w:ilvl w:val="0"/>
          <w:numId w:val="26"/>
        </w:numPr>
        <w:ind w:left="360"/>
      </w:pPr>
      <w:proofErr w:type="spellStart"/>
      <w:r w:rsidRPr="00364590">
        <w:t>BeneFIX</w:t>
      </w:r>
      <w:proofErr w:type="spellEnd"/>
      <w:r w:rsidRPr="00364590">
        <w:t xml:space="preserve"> [package insert]. Philadelphia, PA: Wyeth Pharmaceuticals LLC; November 2022.</w:t>
      </w:r>
    </w:p>
    <w:p w14:paraId="6606C15D" w14:textId="4726FD45" w:rsidR="00D36611" w:rsidRPr="00364590" w:rsidRDefault="00D36611" w:rsidP="007D732E">
      <w:pPr>
        <w:pStyle w:val="ReferenceOrdered"/>
        <w:keepNext w:val="0"/>
        <w:numPr>
          <w:ilvl w:val="0"/>
          <w:numId w:val="26"/>
        </w:numPr>
        <w:ind w:left="360"/>
      </w:pPr>
      <w:proofErr w:type="spellStart"/>
      <w:r w:rsidRPr="00364590">
        <w:t>Ixinity</w:t>
      </w:r>
      <w:proofErr w:type="spellEnd"/>
      <w:r w:rsidRPr="00364590">
        <w:t xml:space="preserve"> [package insert]. Chicago, IL: </w:t>
      </w:r>
      <w:proofErr w:type="spellStart"/>
      <w:r w:rsidRPr="00364590">
        <w:t>Medexus</w:t>
      </w:r>
      <w:proofErr w:type="spellEnd"/>
      <w:r w:rsidRPr="00364590">
        <w:t xml:space="preserve"> Pharma, Inc.; </w:t>
      </w:r>
      <w:r w:rsidR="00A31A88">
        <w:t>March</w:t>
      </w:r>
      <w:r w:rsidRPr="00364590">
        <w:t xml:space="preserve"> 202</w:t>
      </w:r>
      <w:r w:rsidR="00A31A88">
        <w:t>4</w:t>
      </w:r>
      <w:r w:rsidRPr="00364590">
        <w:t>.</w:t>
      </w:r>
    </w:p>
    <w:p w14:paraId="2C34EE7E" w14:textId="616D8362" w:rsidR="00D36611" w:rsidRPr="00364590" w:rsidRDefault="00D36611" w:rsidP="007D732E">
      <w:pPr>
        <w:pStyle w:val="ReferenceOrdered"/>
        <w:keepNext w:val="0"/>
        <w:numPr>
          <w:ilvl w:val="0"/>
          <w:numId w:val="26"/>
        </w:numPr>
        <w:ind w:left="360"/>
      </w:pPr>
      <w:proofErr w:type="spellStart"/>
      <w:r w:rsidRPr="00364590">
        <w:t>Rixubis</w:t>
      </w:r>
      <w:proofErr w:type="spellEnd"/>
      <w:r w:rsidRPr="00364590">
        <w:t xml:space="preserve"> [package insert]. Lexington, MA: Takeda Pharmaceuticals U.S.A., Inc.; March 2023.</w:t>
      </w:r>
    </w:p>
    <w:p w14:paraId="05AE2C39" w14:textId="41561F77" w:rsidR="00D36611" w:rsidRPr="00364590" w:rsidRDefault="00D36611" w:rsidP="007D732E">
      <w:pPr>
        <w:pStyle w:val="ReferenceOrdered"/>
        <w:keepNext w:val="0"/>
        <w:numPr>
          <w:ilvl w:val="0"/>
          <w:numId w:val="26"/>
        </w:numPr>
        <w:ind w:left="360"/>
      </w:pPr>
      <w:proofErr w:type="spellStart"/>
      <w:r w:rsidRPr="00364590">
        <w:t>AlphaNine</w:t>
      </w:r>
      <w:proofErr w:type="spellEnd"/>
      <w:r w:rsidRPr="00364590">
        <w:t xml:space="preserve"> SD [package insert]. Los Angeles, CA: Grifols Biologicals LLC; November 2022.</w:t>
      </w:r>
    </w:p>
    <w:p w14:paraId="05E32F06" w14:textId="20020268" w:rsidR="00D36611" w:rsidRPr="00364590" w:rsidRDefault="00D36611" w:rsidP="007D732E">
      <w:pPr>
        <w:pStyle w:val="ReferenceOrdered"/>
        <w:keepNext w:val="0"/>
        <w:numPr>
          <w:ilvl w:val="0"/>
          <w:numId w:val="26"/>
        </w:numPr>
        <w:ind w:left="360"/>
      </w:pPr>
      <w:proofErr w:type="spellStart"/>
      <w:r w:rsidRPr="00364590">
        <w:t>Idelvion</w:t>
      </w:r>
      <w:proofErr w:type="spellEnd"/>
      <w:r w:rsidRPr="00364590">
        <w:t xml:space="preserve"> [package insert]. Kankakee, IL: CSL Behring LLC; June 2023.</w:t>
      </w:r>
    </w:p>
    <w:p w14:paraId="778FA203" w14:textId="08231206" w:rsidR="00D36611" w:rsidRPr="00364590" w:rsidRDefault="00D36611" w:rsidP="007D732E">
      <w:pPr>
        <w:pStyle w:val="ReferenceOrdered"/>
        <w:keepNext w:val="0"/>
        <w:numPr>
          <w:ilvl w:val="0"/>
          <w:numId w:val="26"/>
        </w:numPr>
        <w:ind w:left="360"/>
      </w:pPr>
      <w:proofErr w:type="spellStart"/>
      <w:r w:rsidRPr="00364590">
        <w:t>Rebinyn</w:t>
      </w:r>
      <w:proofErr w:type="spellEnd"/>
      <w:r w:rsidRPr="00364590">
        <w:t xml:space="preserve"> [package insert]. DK-2880 </w:t>
      </w:r>
      <w:proofErr w:type="spellStart"/>
      <w:r w:rsidRPr="00364590">
        <w:t>Bagsvaerd</w:t>
      </w:r>
      <w:proofErr w:type="spellEnd"/>
      <w:r w:rsidRPr="00364590">
        <w:t>, Denmark: Novo Nordisk A/S; August 2022.</w:t>
      </w:r>
    </w:p>
    <w:p w14:paraId="5C474D11" w14:textId="7B9FA395" w:rsidR="00D36611" w:rsidRPr="00364590" w:rsidRDefault="00D36611" w:rsidP="007D732E">
      <w:pPr>
        <w:pStyle w:val="ReferenceOrdered"/>
        <w:keepNext w:val="0"/>
        <w:numPr>
          <w:ilvl w:val="0"/>
          <w:numId w:val="26"/>
        </w:numPr>
        <w:ind w:left="360"/>
      </w:pPr>
      <w:r w:rsidRPr="00364590">
        <w:t xml:space="preserve">Srivastava A, </w:t>
      </w:r>
      <w:proofErr w:type="spellStart"/>
      <w:r w:rsidRPr="00364590">
        <w:t>Santagostino</w:t>
      </w:r>
      <w:proofErr w:type="spellEnd"/>
      <w:r w:rsidRPr="00364590">
        <w:t xml:space="preserve"> E, </w:t>
      </w:r>
      <w:proofErr w:type="spellStart"/>
      <w:r w:rsidRPr="00364590">
        <w:t>Dougall</w:t>
      </w:r>
      <w:proofErr w:type="spellEnd"/>
      <w:r w:rsidRPr="00364590">
        <w:t xml:space="preserve"> A, et al. WFH Guidelines for the Management of Hemophilia, 3</w:t>
      </w:r>
      <w:r w:rsidRPr="00600651">
        <w:rPr>
          <w:vertAlign w:val="superscript"/>
        </w:rPr>
        <w:t>rd</w:t>
      </w:r>
      <w:r w:rsidRPr="00364590">
        <w:t xml:space="preserve"> edition. </w:t>
      </w:r>
      <w:proofErr w:type="spellStart"/>
      <w:r w:rsidRPr="00364590">
        <w:t>Haemophilia</w:t>
      </w:r>
      <w:proofErr w:type="spellEnd"/>
      <w:r w:rsidRPr="00364590">
        <w:t xml:space="preserve">. 2020;26 Suppl 6:1-158. </w:t>
      </w:r>
      <w:r w:rsidR="009E2CC6" w:rsidRPr="00364590">
        <w:t>D</w:t>
      </w:r>
      <w:r w:rsidRPr="00364590">
        <w:t>oi:10.1111/hae.14046.</w:t>
      </w:r>
    </w:p>
    <w:p w14:paraId="09C80520" w14:textId="1CFE9639" w:rsidR="00D36611" w:rsidRDefault="00D36611" w:rsidP="007D732E">
      <w:pPr>
        <w:pStyle w:val="ReferenceOrdered"/>
        <w:keepNext w:val="0"/>
        <w:numPr>
          <w:ilvl w:val="0"/>
          <w:numId w:val="26"/>
        </w:numPr>
        <w:ind w:left="360"/>
      </w:pPr>
      <w:r w:rsidRPr="00364590">
        <w:t xml:space="preserve">National Hemophilia Foundation. MASAC Recommendations Concerning Products Licensed for the Treatment of Hemophilia and Selected Disorders of the Coagulation System. Revised </w:t>
      </w:r>
      <w:r w:rsidR="006C5F32">
        <w:t>October</w:t>
      </w:r>
      <w:r w:rsidRPr="00364590">
        <w:t xml:space="preserve"> 202</w:t>
      </w:r>
      <w:r w:rsidR="006C5F32">
        <w:t>4</w:t>
      </w:r>
      <w:r w:rsidRPr="00364590">
        <w:t>. MASAC Document #2</w:t>
      </w:r>
      <w:r w:rsidR="006C5F32">
        <w:t>9</w:t>
      </w:r>
      <w:r w:rsidRPr="00364590">
        <w:t xml:space="preserve">0. </w:t>
      </w:r>
      <w:r w:rsidR="009E2CC6" w:rsidRPr="00600651">
        <w:t>https://www</w:t>
      </w:r>
      <w:r w:rsidRPr="00364590">
        <w:t>.hemophilia.org/sites/default/files/document/files/MASAC-Products-Licensed.pdf. Accessed December 5, 202</w:t>
      </w:r>
      <w:r w:rsidR="006C5F32">
        <w:t>4</w:t>
      </w:r>
      <w:r w:rsidRPr="00364590">
        <w:t>.</w:t>
      </w:r>
    </w:p>
    <w:sectPr w:rsidR="00D36611" w:rsidSect="00600651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5ABDA" w14:textId="77777777" w:rsidR="00CA4F7A" w:rsidRDefault="00CA4F7A">
      <w:r>
        <w:separator/>
      </w:r>
    </w:p>
  </w:endnote>
  <w:endnote w:type="continuationSeparator" w:id="0">
    <w:p w14:paraId="30A07542" w14:textId="77777777" w:rsidR="00CA4F7A" w:rsidRDefault="00CA4F7A">
      <w:r>
        <w:continuationSeparator/>
      </w:r>
    </w:p>
  </w:endnote>
  <w:endnote w:type="continuationNotice" w:id="1">
    <w:p w14:paraId="4274E29D" w14:textId="77777777" w:rsidR="00CA4F7A" w:rsidRDefault="00CA4F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00049" w14:textId="6F282313" w:rsidR="00364590" w:rsidRPr="00E445C6" w:rsidRDefault="00364590" w:rsidP="00364590">
    <w:pPr>
      <w:tabs>
        <w:tab w:val="right" w:pos="10710"/>
      </w:tabs>
      <w:spacing w:before="360" w:after="120"/>
      <w:rPr>
        <w:rFonts w:cs="Arial"/>
        <w:snapToGrid w:val="0"/>
        <w:color w:val="000000"/>
        <w:sz w:val="16"/>
      </w:rPr>
    </w:pPr>
    <w:r w:rsidRPr="00E445C6">
      <w:rPr>
        <w:rFonts w:cs="Arial"/>
        <w:noProof/>
        <w:snapToGrid w:val="0"/>
        <w:color w:val="000000"/>
        <w:sz w:val="16"/>
        <w:szCs w:val="16"/>
      </w:rPr>
      <w:fldChar w:fldCharType="begin"/>
    </w:r>
    <w:r w:rsidRPr="00E445C6">
      <w:rPr>
        <w:rFonts w:cs="Arial"/>
        <w:noProof/>
        <w:snapToGrid w:val="0"/>
        <w:color w:val="000000"/>
        <w:sz w:val="16"/>
        <w:szCs w:val="16"/>
      </w:rPr>
      <w:instrText xml:space="preserve"> FILENAME \* MERGEFORMAT </w:instrText>
    </w:r>
    <w:r w:rsidRPr="00E445C6">
      <w:rPr>
        <w:rFonts w:cs="Arial"/>
        <w:noProof/>
        <w:snapToGrid w:val="0"/>
        <w:color w:val="000000"/>
        <w:sz w:val="16"/>
        <w:szCs w:val="16"/>
      </w:rPr>
      <w:fldChar w:fldCharType="separate"/>
    </w:r>
    <w:r w:rsidR="002562C7">
      <w:rPr>
        <w:rFonts w:cs="Arial"/>
        <w:noProof/>
        <w:snapToGrid w:val="0"/>
        <w:color w:val="000000"/>
        <w:sz w:val="16"/>
        <w:szCs w:val="16"/>
      </w:rPr>
      <w:t>Factor IX SGM 1944-A P2025.docx</w:t>
    </w:r>
    <w:r w:rsidRPr="00E445C6">
      <w:rPr>
        <w:rFonts w:cs="Arial"/>
        <w:noProof/>
        <w:snapToGrid w:val="0"/>
        <w:color w:val="000000"/>
        <w:sz w:val="16"/>
        <w:szCs w:val="16"/>
      </w:rPr>
      <w:fldChar w:fldCharType="end"/>
    </w:r>
    <w:r w:rsidRPr="00E445C6">
      <w:rPr>
        <w:rFonts w:cs="Arial"/>
        <w:snapToGrid w:val="0"/>
        <w:color w:val="000000"/>
        <w:sz w:val="16"/>
      </w:rPr>
      <w:tab/>
      <w:t>© 2024 CVS Caremark. All rights reserved.</w:t>
    </w:r>
  </w:p>
  <w:p w14:paraId="4D17C8DC" w14:textId="50305B11" w:rsidR="00364590" w:rsidRPr="00E445C6" w:rsidRDefault="00364590" w:rsidP="00364590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445C6">
      <w:rPr>
        <w:rFonts w:cs="Arial"/>
        <w:sz w:val="16"/>
        <w:szCs w:val="16"/>
      </w:rPr>
      <w:t>This document contains c</w:t>
    </w:r>
    <w:r w:rsidRPr="00E445C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445C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445C6">
      <w:rPr>
        <w:rFonts w:cs="Arial"/>
        <w:snapToGrid w:val="0"/>
        <w:sz w:val="16"/>
        <w:szCs w:val="16"/>
      </w:rPr>
      <w:t>CVS Caremark</w:t>
    </w:r>
    <w:r w:rsidRPr="00E445C6">
      <w:rPr>
        <w:rFonts w:cs="Arial"/>
        <w:sz w:val="16"/>
        <w:szCs w:val="16"/>
      </w:rPr>
      <w:t>.</w:t>
    </w:r>
  </w:p>
  <w:p w14:paraId="24817FAF" w14:textId="77777777" w:rsidR="00364590" w:rsidRPr="00E445C6" w:rsidRDefault="00364590" w:rsidP="00364590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445C6">
      <w:rPr>
        <w:rFonts w:cs="Arial"/>
        <w:sz w:val="16"/>
        <w:szCs w:val="16"/>
      </w:rPr>
      <w:fldChar w:fldCharType="begin"/>
    </w:r>
    <w:r w:rsidRPr="00E445C6">
      <w:rPr>
        <w:rFonts w:cs="Arial"/>
        <w:sz w:val="16"/>
        <w:szCs w:val="16"/>
      </w:rPr>
      <w:instrText xml:space="preserve"> PAGE   \* MERGEFORMAT </w:instrText>
    </w:r>
    <w:r w:rsidRPr="00E445C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445C6">
      <w:rPr>
        <w:rFonts w:cs="Arial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A27CE" w14:textId="6F614CAB" w:rsidR="007D732E" w:rsidRPr="00E445C6" w:rsidRDefault="007D732E" w:rsidP="007D732E">
    <w:pPr>
      <w:tabs>
        <w:tab w:val="right" w:pos="10710"/>
      </w:tabs>
      <w:spacing w:before="360" w:after="120"/>
      <w:rPr>
        <w:rFonts w:cs="Arial"/>
        <w:snapToGrid w:val="0"/>
        <w:color w:val="000000"/>
        <w:sz w:val="16"/>
      </w:rPr>
    </w:pPr>
    <w:r w:rsidRPr="00E445C6">
      <w:rPr>
        <w:rFonts w:cs="Arial"/>
        <w:noProof/>
        <w:snapToGrid w:val="0"/>
        <w:color w:val="000000"/>
        <w:sz w:val="16"/>
        <w:szCs w:val="16"/>
      </w:rPr>
      <w:fldChar w:fldCharType="begin"/>
    </w:r>
    <w:r w:rsidRPr="00E445C6">
      <w:rPr>
        <w:rFonts w:cs="Arial"/>
        <w:noProof/>
        <w:snapToGrid w:val="0"/>
        <w:color w:val="000000"/>
        <w:sz w:val="16"/>
        <w:szCs w:val="16"/>
      </w:rPr>
      <w:instrText xml:space="preserve"> FILENAME \* MERGEFORMAT </w:instrText>
    </w:r>
    <w:r w:rsidRPr="00E445C6">
      <w:rPr>
        <w:rFonts w:cs="Arial"/>
        <w:noProof/>
        <w:snapToGrid w:val="0"/>
        <w:color w:val="000000"/>
        <w:sz w:val="16"/>
        <w:szCs w:val="16"/>
      </w:rPr>
      <w:fldChar w:fldCharType="separate"/>
    </w:r>
    <w:r w:rsidR="002562C7">
      <w:rPr>
        <w:rFonts w:cs="Arial"/>
        <w:noProof/>
        <w:snapToGrid w:val="0"/>
        <w:color w:val="000000"/>
        <w:sz w:val="16"/>
        <w:szCs w:val="16"/>
      </w:rPr>
      <w:t>Factor IX SGM 1944-A P2025.docx</w:t>
    </w:r>
    <w:r w:rsidRPr="00E445C6">
      <w:rPr>
        <w:rFonts w:cs="Arial"/>
        <w:noProof/>
        <w:snapToGrid w:val="0"/>
        <w:color w:val="000000"/>
        <w:sz w:val="16"/>
        <w:szCs w:val="16"/>
      </w:rPr>
      <w:fldChar w:fldCharType="end"/>
    </w:r>
    <w:r w:rsidRPr="00E445C6">
      <w:rPr>
        <w:rFonts w:cs="Arial"/>
        <w:snapToGrid w:val="0"/>
        <w:color w:val="000000"/>
        <w:sz w:val="16"/>
      </w:rPr>
      <w:tab/>
      <w:t>© 2024 CVS Caremark. All rights reserved.</w:t>
    </w:r>
  </w:p>
  <w:p w14:paraId="13E5C555" w14:textId="6A45082F" w:rsidR="007D732E" w:rsidRPr="00E445C6" w:rsidRDefault="007D732E" w:rsidP="007D732E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445C6">
      <w:rPr>
        <w:rFonts w:cs="Arial"/>
        <w:sz w:val="16"/>
        <w:szCs w:val="16"/>
      </w:rPr>
      <w:t>This document contains c</w:t>
    </w:r>
    <w:r w:rsidRPr="00E445C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445C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445C6">
      <w:rPr>
        <w:rFonts w:cs="Arial"/>
        <w:snapToGrid w:val="0"/>
        <w:sz w:val="16"/>
        <w:szCs w:val="16"/>
      </w:rPr>
      <w:t>CVS Caremark</w:t>
    </w:r>
    <w:r w:rsidRPr="00E445C6">
      <w:rPr>
        <w:rFonts w:cs="Arial"/>
        <w:sz w:val="16"/>
        <w:szCs w:val="16"/>
      </w:rPr>
      <w:t>.</w:t>
    </w:r>
  </w:p>
  <w:p w14:paraId="781882FC" w14:textId="0CE0F9ED" w:rsidR="007D732E" w:rsidRPr="00E445C6" w:rsidRDefault="007D732E" w:rsidP="00600651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445C6">
      <w:rPr>
        <w:rFonts w:cs="Arial"/>
        <w:sz w:val="16"/>
        <w:szCs w:val="16"/>
      </w:rPr>
      <w:fldChar w:fldCharType="begin"/>
    </w:r>
    <w:r w:rsidRPr="00E445C6">
      <w:rPr>
        <w:rFonts w:cs="Arial"/>
        <w:sz w:val="16"/>
        <w:szCs w:val="16"/>
      </w:rPr>
      <w:instrText xml:space="preserve"> PAGE   \* MERGEFORMAT </w:instrText>
    </w:r>
    <w:r w:rsidRPr="00E445C6">
      <w:rPr>
        <w:rFonts w:cs="Arial"/>
        <w:sz w:val="16"/>
        <w:szCs w:val="16"/>
      </w:rPr>
      <w:fldChar w:fldCharType="separate"/>
    </w:r>
    <w:r w:rsidRPr="00E445C6">
      <w:rPr>
        <w:rFonts w:cs="Arial"/>
        <w:noProof/>
        <w:sz w:val="16"/>
        <w:szCs w:val="16"/>
      </w:rPr>
      <w:t>2</w:t>
    </w:r>
    <w:r w:rsidRPr="00E445C6">
      <w:rPr>
        <w:rFonts w:cs="Arial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E9941" w14:textId="77777777" w:rsidR="004F45A4" w:rsidRPr="007D732E" w:rsidRDefault="004F45A4" w:rsidP="007D73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B89BD" w14:textId="77777777" w:rsidR="00CA4F7A" w:rsidRDefault="00CA4F7A">
      <w:r>
        <w:separator/>
      </w:r>
    </w:p>
  </w:footnote>
  <w:footnote w:type="continuationSeparator" w:id="0">
    <w:p w14:paraId="37B92262" w14:textId="77777777" w:rsidR="00CA4F7A" w:rsidRDefault="00CA4F7A">
      <w:r>
        <w:continuationSeparator/>
      </w:r>
    </w:p>
  </w:footnote>
  <w:footnote w:type="continuationNotice" w:id="1">
    <w:p w14:paraId="54A591D8" w14:textId="77777777" w:rsidR="00CA4F7A" w:rsidRDefault="00CA4F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364590" w:rsidRPr="00BD1CC1" w14:paraId="1BD1E310" w14:textId="77777777" w:rsidTr="00F760F5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29D2ECC4" w14:textId="77777777" w:rsidR="00364590" w:rsidRPr="00E445C6" w:rsidRDefault="00364590" w:rsidP="00364590">
          <w:pPr>
            <w:pStyle w:val="Header"/>
            <w:rPr>
              <w:rFonts w:cs="Arial"/>
              <w:sz w:val="16"/>
              <w:szCs w:val="16"/>
            </w:rPr>
          </w:pPr>
          <w:r w:rsidRPr="00E445C6">
            <w:rPr>
              <w:rFonts w:cs="Arial"/>
              <w:sz w:val="16"/>
              <w:szCs w:val="16"/>
            </w:rPr>
            <w:t>Reference number(s)</w:t>
          </w:r>
        </w:p>
      </w:tc>
    </w:tr>
    <w:tr w:rsidR="00364590" w:rsidRPr="00BD1CC1" w14:paraId="57C8CBC0" w14:textId="77777777" w:rsidTr="00F760F5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E0097B4" w14:textId="77777777" w:rsidR="00364590" w:rsidRPr="00B853CC" w:rsidRDefault="00364590" w:rsidP="00364590">
          <w:pPr>
            <w:pStyle w:val="Header"/>
            <w:rPr>
              <w:rFonts w:cs="Arial"/>
              <w:sz w:val="16"/>
              <w:szCs w:val="16"/>
            </w:rPr>
          </w:pPr>
          <w:r w:rsidRPr="00B853CC">
            <w:rPr>
              <w:rFonts w:cs="Arial"/>
              <w:sz w:val="16"/>
              <w:szCs w:val="16"/>
            </w:rPr>
            <w:t>1944-A</w:t>
          </w:r>
        </w:p>
      </w:tc>
    </w:tr>
  </w:tbl>
  <w:p w14:paraId="532CB06A" w14:textId="77777777" w:rsidR="00364590" w:rsidRPr="00364590" w:rsidRDefault="00364590" w:rsidP="00364590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364590" w:rsidRPr="00BD1CC1" w14:paraId="6D2C5470" w14:textId="77777777" w:rsidTr="006D0E12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30F975E3" w14:textId="77777777" w:rsidR="00364590" w:rsidRPr="00E445C6" w:rsidRDefault="00364590" w:rsidP="007D732E">
          <w:pPr>
            <w:pStyle w:val="Header"/>
            <w:rPr>
              <w:rFonts w:cs="Arial"/>
              <w:sz w:val="16"/>
              <w:szCs w:val="16"/>
            </w:rPr>
          </w:pPr>
          <w:r w:rsidRPr="00E445C6">
            <w:rPr>
              <w:rFonts w:cs="Arial"/>
              <w:sz w:val="16"/>
              <w:szCs w:val="16"/>
            </w:rPr>
            <w:t>Reference number(s)</w:t>
          </w:r>
        </w:p>
      </w:tc>
    </w:tr>
    <w:tr w:rsidR="00364590" w:rsidRPr="00BD1CC1" w14:paraId="7B57FD0B" w14:textId="77777777" w:rsidTr="006D0E12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8B037C2" w14:textId="77777777" w:rsidR="00364590" w:rsidRPr="00B853CC" w:rsidRDefault="00364590" w:rsidP="007D732E">
          <w:pPr>
            <w:pStyle w:val="Header"/>
            <w:rPr>
              <w:rFonts w:cs="Arial"/>
              <w:sz w:val="16"/>
              <w:szCs w:val="16"/>
            </w:rPr>
          </w:pPr>
          <w:r w:rsidRPr="00B853CC">
            <w:rPr>
              <w:rFonts w:cs="Arial"/>
              <w:sz w:val="16"/>
              <w:szCs w:val="16"/>
            </w:rPr>
            <w:t>1944-A</w:t>
          </w:r>
        </w:p>
      </w:tc>
    </w:tr>
  </w:tbl>
  <w:p w14:paraId="79937A97" w14:textId="77777777" w:rsidR="00364590" w:rsidRPr="00364590" w:rsidRDefault="00364590" w:rsidP="001A534B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EC52BC"/>
    <w:multiLevelType w:val="hybridMultilevel"/>
    <w:tmpl w:val="A09AA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326B1"/>
    <w:multiLevelType w:val="hybridMultilevel"/>
    <w:tmpl w:val="0470AB48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2666E"/>
    <w:multiLevelType w:val="hybridMultilevel"/>
    <w:tmpl w:val="45C4D1FC"/>
    <w:lvl w:ilvl="0" w:tplc="701C785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2"/>
  </w:num>
  <w:num w:numId="3" w16cid:durableId="611589570">
    <w:abstractNumId w:val="1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5"/>
  </w:num>
  <w:num w:numId="18" w16cid:durableId="299724409">
    <w:abstractNumId w:val="19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6"/>
  </w:num>
  <w:num w:numId="22" w16cid:durableId="1472481103">
    <w:abstractNumId w:val="21"/>
  </w:num>
  <w:num w:numId="23" w16cid:durableId="1997420403">
    <w:abstractNumId w:val="23"/>
  </w:num>
  <w:num w:numId="24" w16cid:durableId="33312838">
    <w:abstractNumId w:val="20"/>
  </w:num>
  <w:num w:numId="25" w16cid:durableId="507404939">
    <w:abstractNumId w:val="15"/>
  </w:num>
  <w:num w:numId="26" w16cid:durableId="1117914710">
    <w:abstractNumId w:val="17"/>
  </w:num>
  <w:num w:numId="27" w16cid:durableId="407309340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886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1DC0"/>
    <w:rsid w:val="000B20CD"/>
    <w:rsid w:val="000B276A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1E0C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2B05"/>
    <w:rsid w:val="001630B4"/>
    <w:rsid w:val="00165258"/>
    <w:rsid w:val="00165670"/>
    <w:rsid w:val="00165A99"/>
    <w:rsid w:val="001675AA"/>
    <w:rsid w:val="00170325"/>
    <w:rsid w:val="0017208E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3F2E"/>
    <w:rsid w:val="001A432C"/>
    <w:rsid w:val="001A4C1C"/>
    <w:rsid w:val="001A4DBB"/>
    <w:rsid w:val="001A534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4BA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62C7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08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2F6C3C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931"/>
    <w:rsid w:val="00360F75"/>
    <w:rsid w:val="00362CE9"/>
    <w:rsid w:val="00363EF7"/>
    <w:rsid w:val="00363F55"/>
    <w:rsid w:val="0036404E"/>
    <w:rsid w:val="00364436"/>
    <w:rsid w:val="00364590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2C79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1D84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5FBF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5A4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255A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9E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2474"/>
    <w:rsid w:val="0059286F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E6FD9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651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129"/>
    <w:rsid w:val="00615D0E"/>
    <w:rsid w:val="0061673E"/>
    <w:rsid w:val="00617744"/>
    <w:rsid w:val="00617950"/>
    <w:rsid w:val="00617BB8"/>
    <w:rsid w:val="00621772"/>
    <w:rsid w:val="0062185A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52F8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5F32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29F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64F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32E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1E3B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2F35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4FDF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65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F93"/>
    <w:rsid w:val="00986BF8"/>
    <w:rsid w:val="00986C82"/>
    <w:rsid w:val="009901A3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2CC6"/>
    <w:rsid w:val="009E489A"/>
    <w:rsid w:val="009E5212"/>
    <w:rsid w:val="009E6C19"/>
    <w:rsid w:val="009E6E2F"/>
    <w:rsid w:val="009F0845"/>
    <w:rsid w:val="009F1EDE"/>
    <w:rsid w:val="009F2CEE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37BD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1A88"/>
    <w:rsid w:val="00A320A4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B22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C51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3CC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2A5"/>
    <w:rsid w:val="00BB5B7E"/>
    <w:rsid w:val="00BB6239"/>
    <w:rsid w:val="00BB6FE9"/>
    <w:rsid w:val="00BC02EF"/>
    <w:rsid w:val="00BC2111"/>
    <w:rsid w:val="00BC2848"/>
    <w:rsid w:val="00BC3272"/>
    <w:rsid w:val="00BC3508"/>
    <w:rsid w:val="00BC3A79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3DE9"/>
    <w:rsid w:val="00BF4287"/>
    <w:rsid w:val="00BF4324"/>
    <w:rsid w:val="00BF4E26"/>
    <w:rsid w:val="00BF5865"/>
    <w:rsid w:val="00BF5927"/>
    <w:rsid w:val="00BF5953"/>
    <w:rsid w:val="00BF685D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345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A3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BCA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1539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4F7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2FA0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611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57C5A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B0090"/>
    <w:rsid w:val="00DB0685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5C6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5CE9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686D"/>
    <w:rsid w:val="00E86A27"/>
    <w:rsid w:val="00E8773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246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46C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364590"/>
    <w:pPr>
      <w:outlineLvl w:val="3"/>
    </w:pPr>
    <w:rPr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364590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Normal"/>
    <w:link w:val="TableDataUnpaddedChar"/>
    <w:qFormat/>
    <w:rsid w:val="00821E3B"/>
    <w:rPr>
      <w:rFonts w:eastAsia="Arial" w:cs="Arial"/>
      <w:szCs w:val="22"/>
    </w:rPr>
  </w:style>
  <w:style w:type="character" w:customStyle="1" w:styleId="TableDataUnpaddedChar">
    <w:name w:val="Table Data Unpadded Char"/>
    <w:basedOn w:val="DefaultParagraphFont"/>
    <w:link w:val="TableDataUnpadded"/>
    <w:rsid w:val="00821E3B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purl.org/dc/elements/1.1/"/>
    <ds:schemaRef ds:uri="http://schemas.microsoft.com/office/2006/metadata/properties"/>
    <ds:schemaRef ds:uri="7757c461-07c7-44e1-99a5-77c6cc8be592"/>
    <ds:schemaRef ds:uri="http://schemas.microsoft.com/sharepoint/v4"/>
    <ds:schemaRef ds:uri="http://purl.org/dc/terms/"/>
    <ds:schemaRef ds:uri="http://schemas.openxmlformats.org/package/2006/metadata/core-properties"/>
    <ds:schemaRef ds:uri="eb403b6b-7b96-4fe7-afcc-b3d44ddfb7d8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5223CA-AB30-48A6-85FA-CBB35D8BB5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2308</Characters>
  <Application>Microsoft Office Word</Application>
  <DocSecurity>0</DocSecurity>
  <Lines>56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>Factor IX 1944-A SGM P2024</vt:lpstr>
      <vt:lpstr>Specialty Guideline Management Factor IX Products</vt:lpstr>
      <vt:lpstr>    Products Referenced by this Document</vt:lpstr>
      <vt:lpstr>    Indications</vt:lpstr>
      <vt:lpstr>        FDA-approved Indications1-7</vt:lpstr>
      <vt:lpstr>    Prescriber Specialties</vt:lpstr>
      <vt:lpstr>    Coverage Criteria</vt:lpstr>
      <vt:lpstr>        Hemophilia B1-9</vt:lpstr>
      <vt:lpstr>    Continuation of Therapy</vt:lpstr>
      <vt:lpstr>    References</vt:lpstr>
      <vt:lpstr>    Document History</vt:lpstr>
    </vt:vector>
  </TitlesOfParts>
  <Company>PCS Health Systems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Factor IX SGM 1944-A</dc:title>
  <dc:subject/>
  <dc:creator>CVS Caremark</dc:creator>
  <cp:keywords/>
  <cp:lastModifiedBy>Huerta, Linda M</cp:lastModifiedBy>
  <cp:revision>3</cp:revision>
  <cp:lastPrinted>2024-04-03T07:16:00Z</cp:lastPrinted>
  <dcterms:created xsi:type="dcterms:W3CDTF">2025-03-10T19:15:00Z</dcterms:created>
  <dcterms:modified xsi:type="dcterms:W3CDTF">2025-03-10T19:15:00Z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145100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